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5BBD" w14:textId="2786D8F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Anexa I</w:t>
      </w:r>
    </w:p>
    <w:p w14:paraId="5662CC6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289747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2F9A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67E15" w14:textId="642F6AF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CB6">
        <w:rPr>
          <w:rFonts w:ascii="Times New Roman" w:hAnsi="Times New Roman"/>
          <w:b/>
          <w:bCs/>
          <w:sz w:val="24"/>
          <w:szCs w:val="24"/>
        </w:rPr>
        <w:t>BIBLIOGRAFIE</w:t>
      </w:r>
      <w:r w:rsidR="008B11F2">
        <w:rPr>
          <w:rFonts w:ascii="Times New Roman" w:hAnsi="Times New Roman"/>
          <w:b/>
          <w:bCs/>
          <w:sz w:val="24"/>
          <w:szCs w:val="24"/>
        </w:rPr>
        <w:t>/ TEMATICA</w:t>
      </w:r>
    </w:p>
    <w:p w14:paraId="3D321412" w14:textId="77777777" w:rsidR="00E34CC6" w:rsidRDefault="00E34CC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INSPECTOR, CLS. I, GRAD PROFESIONAL ASISTENT </w:t>
      </w:r>
    </w:p>
    <w:p w14:paraId="2ADD646B" w14:textId="4DC5BA00" w:rsidR="00710CB6" w:rsidRPr="00710CB6" w:rsidRDefault="00B61911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COMPARTIMENT PROTECTIA MEDIULUI</w:t>
      </w:r>
    </w:p>
    <w:p w14:paraId="33AFADF1" w14:textId="77777777" w:rsidR="00710CB6" w:rsidRDefault="00710CB6" w:rsidP="00710CB6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14:paraId="75B0C6DF" w14:textId="77777777" w:rsidR="00710CB6" w:rsidRDefault="00710CB6" w:rsidP="00710CB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63FEE6E1" w14:textId="77777777" w:rsidR="00757141" w:rsidRPr="00B61911" w:rsidRDefault="00757141" w:rsidP="00B6191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911">
        <w:rPr>
          <w:rFonts w:ascii="Times New Roman" w:hAnsi="Times New Roman"/>
          <w:sz w:val="24"/>
          <w:szCs w:val="24"/>
        </w:rPr>
        <w:t>Constituţia României, republicată cu tematica: Constituţia României, republicată</w:t>
      </w:r>
    </w:p>
    <w:p w14:paraId="316783BB" w14:textId="665FCAB6" w:rsidR="00757141" w:rsidRPr="00834C65" w:rsidRDefault="00757141" w:rsidP="00834C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34C65">
        <w:rPr>
          <w:rFonts w:ascii="Times New Roman" w:hAnsi="Times New Roman"/>
          <w:sz w:val="24"/>
          <w:szCs w:val="24"/>
        </w:rPr>
        <w:t>Ordonanţa Guvernului nr. 137/2000 privind prevenirea şi sancţionarea tuturor formelor de discriminare, republicată, cu modificările şi completările ulterioare cu tematica: Ordonanţa Guvernului nr. 137/2000 privind prevenirea şi sancţionarea tuturor formelor de discriminare, republicată, cu modificările şi completările ulterioare</w:t>
      </w:r>
    </w:p>
    <w:p w14:paraId="54897BD1" w14:textId="018BE895" w:rsidR="00B61911" w:rsidRDefault="00757141" w:rsidP="00FB535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B535E">
        <w:rPr>
          <w:rFonts w:ascii="Times New Roman" w:hAnsi="Times New Roman"/>
          <w:sz w:val="24"/>
          <w:szCs w:val="24"/>
        </w:rPr>
        <w:t xml:space="preserve">Legea nr. 202/2002 privind egalitatea de şanse şi de tratament între femei şi bărbaţi, rerepublicată, cu modificările şi completările ulterioare cu tematica Legea nr. 202/2002 privind egalitatea de şanse şi de tratament între femei şi bărbaţi, rerepublicată, cu modificările şi completările ulterioare; </w:t>
      </w:r>
    </w:p>
    <w:p w14:paraId="76C6EA38" w14:textId="24297BC0" w:rsidR="00834C65" w:rsidRPr="00FB535E" w:rsidRDefault="00834C65" w:rsidP="00FB535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B535E">
        <w:rPr>
          <w:rFonts w:ascii="Times New Roman" w:eastAsiaTheme="minorHAnsi" w:hAnsi="Times New Roman"/>
          <w:sz w:val="24"/>
          <w:szCs w:val="24"/>
        </w:rPr>
        <w:t>Ordonanţa de urgenţă a Guvernului nr. 57/2019 privind Codul administrativ, cu modificările şi completările ulterioare - partea I, titlul I şi titlul II ale părţii a II-a, titlul I al părţii a IV-a, titlul I şi II ale părţii a VI - a cu tematica partea I (Dispoziţii generale), titlul I (Guvernul) şi titlul II (Administraţia publică centrală de specialitate) ale părţii a II-a, titlul I (Prefectul şi subprefectul) al părţii a IV-a, titlul I (Dispoziţii generale) şi II (Statutul funcţionarilor publici ) ale părţii a VI-a din Ordonanţa de urgenţă a Guvernului nr. 57/2019 privind Codul administrativ, cu modificările şi completările ulterioare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14:paraId="56B298C1" w14:textId="5FD0B73B" w:rsidR="004F00F1" w:rsidRPr="00EA7982" w:rsidRDefault="00B61911" w:rsidP="00FB53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911">
        <w:rPr>
          <w:rFonts w:ascii="Times New Roman" w:hAnsi="Times New Roman"/>
          <w:sz w:val="24"/>
          <w:szCs w:val="24"/>
        </w:rPr>
        <w:t xml:space="preserve">ORDONANTA DE URGENTA NR. 195/2005 privind protectia mediului, cu modificările si completările ulterioare, cu tematica </w:t>
      </w:r>
      <w:r w:rsidR="00EA7982">
        <w:rPr>
          <w:rFonts w:ascii="Times New Roman" w:hAnsi="Times New Roman"/>
          <w:sz w:val="24"/>
          <w:szCs w:val="24"/>
        </w:rPr>
        <w:t>integral;</w:t>
      </w:r>
    </w:p>
    <w:p w14:paraId="3EEA8767" w14:textId="77777777" w:rsidR="00D756E8" w:rsidRPr="00D756E8" w:rsidRDefault="00D756E8" w:rsidP="00FB53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56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ORDONANTA  nr. 21/2002 privind gospodarirea localitatilor urbane si rurale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B61911">
        <w:rPr>
          <w:rFonts w:ascii="Times New Roman" w:hAnsi="Times New Roman"/>
          <w:color w:val="222222"/>
          <w:sz w:val="24"/>
          <w:szCs w:val="24"/>
        </w:rPr>
        <w:t xml:space="preserve">cu modificările si completările ulterioare, </w:t>
      </w:r>
      <w:r w:rsidRPr="00B61911">
        <w:rPr>
          <w:rFonts w:ascii="Times New Roman" w:hAnsi="Times New Roman"/>
          <w:color w:val="000000"/>
          <w:sz w:val="24"/>
          <w:szCs w:val="24"/>
        </w:rPr>
        <w:t>cu tematica integral</w:t>
      </w:r>
      <w:r w:rsidRPr="00D756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;                   </w:t>
      </w:r>
    </w:p>
    <w:p w14:paraId="4EC0AD98" w14:textId="46594AD1" w:rsidR="00B61911" w:rsidRPr="00D756E8" w:rsidRDefault="00B61911" w:rsidP="00FB53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56E8">
        <w:rPr>
          <w:rFonts w:ascii="Times New Roman" w:hAnsi="Times New Roman"/>
          <w:color w:val="222222"/>
          <w:sz w:val="24"/>
          <w:szCs w:val="24"/>
        </w:rPr>
        <w:t xml:space="preserve">O.U.G. nr 92/2021 privind regimul deşeurilor cu modificările si completările ulterioare, </w:t>
      </w:r>
      <w:r w:rsidRPr="00D756E8">
        <w:rPr>
          <w:rFonts w:ascii="Times New Roman" w:hAnsi="Times New Roman"/>
          <w:color w:val="000000"/>
          <w:sz w:val="24"/>
          <w:szCs w:val="24"/>
        </w:rPr>
        <w:t>cu tematica integral</w:t>
      </w:r>
      <w:r w:rsidR="00D756E8">
        <w:rPr>
          <w:rFonts w:ascii="Times New Roman" w:hAnsi="Times New Roman"/>
          <w:color w:val="000000"/>
          <w:sz w:val="24"/>
          <w:szCs w:val="24"/>
        </w:rPr>
        <w:t>;</w:t>
      </w:r>
    </w:p>
    <w:p w14:paraId="4307F9C0" w14:textId="77777777" w:rsidR="00C01118" w:rsidRDefault="00B61911" w:rsidP="00FB53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19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1911">
        <w:rPr>
          <w:rFonts w:ascii="Times New Roman" w:hAnsi="Times New Roman"/>
          <w:color w:val="222222"/>
          <w:sz w:val="24"/>
          <w:szCs w:val="24"/>
        </w:rPr>
        <w:t xml:space="preserve">Legea nr. 104 din 15 iunie 2011 privind calitatea aerului inconjurator cu modificările si completările ulterioare, </w:t>
      </w:r>
      <w:r w:rsidRPr="00B61911">
        <w:rPr>
          <w:rFonts w:ascii="Times New Roman" w:hAnsi="Times New Roman"/>
          <w:color w:val="000000"/>
          <w:sz w:val="24"/>
          <w:szCs w:val="24"/>
        </w:rPr>
        <w:t>cu tematica integral</w:t>
      </w:r>
      <w:r w:rsidR="00D756E8">
        <w:rPr>
          <w:rFonts w:ascii="Times New Roman" w:hAnsi="Times New Roman"/>
          <w:color w:val="000000"/>
          <w:sz w:val="24"/>
          <w:szCs w:val="24"/>
        </w:rPr>
        <w:t>;</w:t>
      </w:r>
    </w:p>
    <w:p w14:paraId="1BC1AC80" w14:textId="0B7341DC" w:rsidR="00C01118" w:rsidRPr="00C01118" w:rsidRDefault="00C01118" w:rsidP="00FB53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1118">
        <w:rPr>
          <w:rFonts w:ascii="Times New Roman" w:eastAsiaTheme="minorHAnsi" w:hAnsi="Times New Roman"/>
          <w:sz w:val="24"/>
          <w:szCs w:val="24"/>
          <w:lang w:eastAsia="en-US"/>
        </w:rPr>
        <w:t xml:space="preserve">Legea nr.249/2015 privind modalitatea de gestionare a ambalajelor </w:t>
      </w:r>
      <w:r w:rsidRPr="00C01118">
        <w:rPr>
          <w:rFonts w:ascii="TimesNewRoman" w:eastAsiaTheme="minorHAnsi" w:hAnsi="TimesNewRoman" w:cs="TimesNewRoman"/>
          <w:sz w:val="24"/>
          <w:szCs w:val="24"/>
          <w:lang w:eastAsia="en-US"/>
        </w:rPr>
        <w:t>s</w:t>
      </w:r>
      <w:r w:rsidRPr="00C01118">
        <w:rPr>
          <w:rFonts w:ascii="Times New Roman" w:eastAsiaTheme="minorHAnsi" w:hAnsi="Times New Roman"/>
          <w:sz w:val="24"/>
          <w:szCs w:val="24"/>
          <w:lang w:eastAsia="en-US"/>
        </w:rPr>
        <w:t>i a de</w:t>
      </w:r>
      <w:r w:rsidRPr="00C01118">
        <w:rPr>
          <w:rFonts w:ascii="TimesNewRoman" w:eastAsiaTheme="minorHAnsi" w:hAnsi="TimesNewRoman" w:cs="TimesNewRoman"/>
          <w:sz w:val="24"/>
          <w:szCs w:val="24"/>
          <w:lang w:eastAsia="en-US"/>
        </w:rPr>
        <w:t>s</w:t>
      </w:r>
      <w:r w:rsidRPr="00C01118">
        <w:rPr>
          <w:rFonts w:ascii="Times New Roman" w:eastAsiaTheme="minorHAnsi" w:hAnsi="Times New Roman"/>
          <w:sz w:val="24"/>
          <w:szCs w:val="24"/>
          <w:lang w:eastAsia="en-US"/>
        </w:rPr>
        <w:t>eurilor de ambalaje, cu modific</w:t>
      </w:r>
      <w:r w:rsidRPr="00C01118">
        <w:rPr>
          <w:rFonts w:ascii="TimesNewRoman" w:eastAsiaTheme="minorHAnsi" w:hAnsi="TimesNewRoman" w:cs="TimesNewRoman"/>
          <w:sz w:val="24"/>
          <w:szCs w:val="24"/>
          <w:lang w:eastAsia="en-US"/>
        </w:rPr>
        <w:t>ă</w:t>
      </w:r>
      <w:r w:rsidRPr="00C01118">
        <w:rPr>
          <w:rFonts w:ascii="Times New Roman" w:eastAsiaTheme="minorHAnsi" w:hAnsi="Times New Roman"/>
          <w:sz w:val="24"/>
          <w:szCs w:val="24"/>
          <w:lang w:eastAsia="en-US"/>
        </w:rPr>
        <w:t xml:space="preserve">rile </w:t>
      </w:r>
      <w:r w:rsidRPr="00C01118">
        <w:rPr>
          <w:rFonts w:ascii="TimesNewRoman" w:eastAsiaTheme="minorHAnsi" w:hAnsi="TimesNewRoman" w:cs="TimesNewRoman"/>
          <w:sz w:val="24"/>
          <w:szCs w:val="24"/>
          <w:lang w:eastAsia="en-US"/>
        </w:rPr>
        <w:t>s</w:t>
      </w:r>
      <w:r w:rsidRPr="00C01118">
        <w:rPr>
          <w:rFonts w:ascii="Times New Roman" w:eastAsiaTheme="minorHAnsi" w:hAnsi="Times New Roman"/>
          <w:sz w:val="24"/>
          <w:szCs w:val="24"/>
          <w:lang w:eastAsia="en-US"/>
        </w:rPr>
        <w:t>i complet</w:t>
      </w:r>
      <w:r w:rsidRPr="00C01118">
        <w:rPr>
          <w:rFonts w:ascii="TimesNewRoman" w:eastAsiaTheme="minorHAnsi" w:hAnsi="TimesNewRoman" w:cs="TimesNewRoman"/>
          <w:sz w:val="24"/>
          <w:szCs w:val="24"/>
          <w:lang w:eastAsia="en-US"/>
        </w:rPr>
        <w:t>ă</w:t>
      </w:r>
      <w:r w:rsidRPr="00C01118">
        <w:rPr>
          <w:rFonts w:ascii="Times New Roman" w:eastAsiaTheme="minorHAnsi" w:hAnsi="Times New Roman"/>
          <w:sz w:val="24"/>
          <w:szCs w:val="24"/>
          <w:lang w:eastAsia="en-US"/>
        </w:rPr>
        <w:t>rile ulterioare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B61911">
        <w:rPr>
          <w:rFonts w:ascii="Times New Roman" w:hAnsi="Times New Roman"/>
          <w:color w:val="000000"/>
          <w:sz w:val="24"/>
          <w:szCs w:val="24"/>
        </w:rPr>
        <w:t>cu tematica integral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75F0DE7" w14:textId="77777777" w:rsidR="00C01118" w:rsidRPr="00C01118" w:rsidRDefault="00C01118" w:rsidP="00B96F8D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B2B884" w14:textId="77777777" w:rsidR="00A2520B" w:rsidRPr="00B61911" w:rsidRDefault="00A2520B" w:rsidP="00B61911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166864" w14:textId="77777777" w:rsidR="008B11F2" w:rsidRDefault="008B11F2" w:rsidP="00B61911">
      <w:pPr>
        <w:spacing w:line="276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004D0B" w14:textId="77777777" w:rsidR="008B11F2" w:rsidRDefault="008B11F2" w:rsidP="00B61911">
      <w:pPr>
        <w:spacing w:line="276" w:lineRule="auto"/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86E3C6" w14:textId="2AAF9BFF" w:rsidR="00710CB6" w:rsidRPr="00710CB6" w:rsidRDefault="00710CB6" w:rsidP="00B61911">
      <w:pPr>
        <w:spacing w:line="276" w:lineRule="auto"/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>PRIMAR,                                                                                  SECRETAR GENERAL</w:t>
      </w:r>
    </w:p>
    <w:p w14:paraId="36DCE83D" w14:textId="53959F8D" w:rsidR="00710CB6" w:rsidRPr="00710CB6" w:rsidRDefault="00710CB6" w:rsidP="00B61911">
      <w:pPr>
        <w:spacing w:line="276" w:lineRule="auto"/>
        <w:ind w:left="567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</w:t>
      </w:r>
      <w:r w:rsidR="00DA0599">
        <w:rPr>
          <w:rFonts w:ascii="Times New Roman" w:eastAsiaTheme="minorHAnsi" w:hAnsi="Times New Roman"/>
          <w:b/>
          <w:sz w:val="24"/>
          <w:szCs w:val="24"/>
          <w:lang w:eastAsia="en-US"/>
        </w:rPr>
        <w:t>COMUNA</w:t>
      </w: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MOȘNIȚA NOUĂ,</w:t>
      </w:r>
    </w:p>
    <w:p w14:paraId="53C646AC" w14:textId="2D9AED9E" w:rsidR="00710CB6" w:rsidRPr="00710CB6" w:rsidRDefault="00F1208E" w:rsidP="00B61911">
      <w:pPr>
        <w:spacing w:line="276" w:lineRule="auto"/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GERALD- OSCAR SIMONIS</w:t>
      </w:r>
      <w:r w:rsidR="00710CB6"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SZABO MONIKA</w:t>
      </w:r>
    </w:p>
    <w:p w14:paraId="250D9CCE" w14:textId="77777777" w:rsidR="005E0900" w:rsidRDefault="005E0900" w:rsidP="00B61911">
      <w:pPr>
        <w:spacing w:line="276" w:lineRule="auto"/>
      </w:pPr>
    </w:p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33B"/>
    <w:multiLevelType w:val="hybridMultilevel"/>
    <w:tmpl w:val="2A4E6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22A7A"/>
    <w:multiLevelType w:val="hybridMultilevel"/>
    <w:tmpl w:val="2A4E6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1941"/>
    <w:multiLevelType w:val="hybridMultilevel"/>
    <w:tmpl w:val="2A4E6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96977">
    <w:abstractNumId w:val="2"/>
  </w:num>
  <w:num w:numId="2" w16cid:durableId="1420129046">
    <w:abstractNumId w:val="1"/>
  </w:num>
  <w:num w:numId="3" w16cid:durableId="1438986767">
    <w:abstractNumId w:val="0"/>
  </w:num>
  <w:num w:numId="4" w16cid:durableId="2016415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6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2487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C4BD1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168A1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0EF3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00F1"/>
    <w:rsid w:val="004F61BB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A6C04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14E9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0CB6"/>
    <w:rsid w:val="00711D7B"/>
    <w:rsid w:val="007269E1"/>
    <w:rsid w:val="0072727E"/>
    <w:rsid w:val="007324A1"/>
    <w:rsid w:val="00737683"/>
    <w:rsid w:val="0074260B"/>
    <w:rsid w:val="00745C73"/>
    <w:rsid w:val="00753DC5"/>
    <w:rsid w:val="00757141"/>
    <w:rsid w:val="00762106"/>
    <w:rsid w:val="007624B8"/>
    <w:rsid w:val="00762561"/>
    <w:rsid w:val="00773759"/>
    <w:rsid w:val="00773E44"/>
    <w:rsid w:val="00773F90"/>
    <w:rsid w:val="00774C00"/>
    <w:rsid w:val="007803C7"/>
    <w:rsid w:val="0078074C"/>
    <w:rsid w:val="00782746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34C65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11F2"/>
    <w:rsid w:val="008B156C"/>
    <w:rsid w:val="008B2749"/>
    <w:rsid w:val="008B4355"/>
    <w:rsid w:val="008B4F8B"/>
    <w:rsid w:val="008B655F"/>
    <w:rsid w:val="008C0103"/>
    <w:rsid w:val="008C4250"/>
    <w:rsid w:val="008C6AAF"/>
    <w:rsid w:val="008C78B5"/>
    <w:rsid w:val="008D2E6F"/>
    <w:rsid w:val="008D36B8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4A1E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520B"/>
    <w:rsid w:val="00A27F17"/>
    <w:rsid w:val="00A305C0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1911"/>
    <w:rsid w:val="00B635BC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96F8D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2654"/>
    <w:rsid w:val="00BF3847"/>
    <w:rsid w:val="00BF6410"/>
    <w:rsid w:val="00C01118"/>
    <w:rsid w:val="00C047EE"/>
    <w:rsid w:val="00C107A3"/>
    <w:rsid w:val="00C16E1D"/>
    <w:rsid w:val="00C16EF0"/>
    <w:rsid w:val="00C26FF9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2AD4"/>
    <w:rsid w:val="00CD40ED"/>
    <w:rsid w:val="00CD4227"/>
    <w:rsid w:val="00CD4C71"/>
    <w:rsid w:val="00CD5419"/>
    <w:rsid w:val="00CE09FB"/>
    <w:rsid w:val="00CE67B9"/>
    <w:rsid w:val="00CF009B"/>
    <w:rsid w:val="00CF0A54"/>
    <w:rsid w:val="00CF2E26"/>
    <w:rsid w:val="00CF347B"/>
    <w:rsid w:val="00CF591F"/>
    <w:rsid w:val="00CF63DE"/>
    <w:rsid w:val="00D0201C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756E8"/>
    <w:rsid w:val="00D820F7"/>
    <w:rsid w:val="00D853F6"/>
    <w:rsid w:val="00D90ACE"/>
    <w:rsid w:val="00D93592"/>
    <w:rsid w:val="00D9471F"/>
    <w:rsid w:val="00DA0599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34CC6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A7982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03721"/>
    <w:rsid w:val="00F1208E"/>
    <w:rsid w:val="00F12C76"/>
    <w:rsid w:val="00F15CC0"/>
    <w:rsid w:val="00F26F30"/>
    <w:rsid w:val="00F37474"/>
    <w:rsid w:val="00F4141F"/>
    <w:rsid w:val="00F414C6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535E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D670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C08E"/>
  <w15:chartTrackingRefBased/>
  <w15:docId w15:val="{581F1A3B-B204-4B56-BF36-A19444F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B6"/>
    <w:rPr>
      <w:rFonts w:ascii="Calibri" w:eastAsia="Times New Roman" w:hAnsi="Calibri" w:cs="Times New Roman"/>
      <w:lang w:eastAsia="ro-RO"/>
    </w:rPr>
  </w:style>
  <w:style w:type="paragraph" w:styleId="Heading1">
    <w:name w:val="heading 1"/>
    <w:basedOn w:val="Normal"/>
    <w:link w:val="Heading1Char"/>
    <w:uiPriority w:val="9"/>
    <w:qFormat/>
    <w:rsid w:val="00B6191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CB6"/>
    <w:pPr>
      <w:ind w:left="720"/>
      <w:contextualSpacing/>
    </w:pPr>
    <w:rPr>
      <w:rFonts w:eastAsia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61911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28</cp:revision>
  <cp:lastPrinted>2025-09-23T08:22:00Z</cp:lastPrinted>
  <dcterms:created xsi:type="dcterms:W3CDTF">2022-05-12T13:27:00Z</dcterms:created>
  <dcterms:modified xsi:type="dcterms:W3CDTF">2025-09-23T08:42:00Z</dcterms:modified>
</cp:coreProperties>
</file>